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A5249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320E33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8D4D76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8D4D76">
                    <w:rPr>
                      <w:u w:val="single"/>
                      <w:lang w:val="es-ES"/>
                    </w:rPr>
                    <w:t>OCTUBRE</w:t>
                  </w:r>
                  <w:bookmarkStart w:id="0" w:name="_GoBack"/>
                  <w:bookmarkEnd w:id="0"/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A5249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Pr="008D4D76" w:rsidRDefault="008D4D76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8D4D76">
              <w:rPr>
                <w:sz w:val="18"/>
                <w:szCs w:val="18"/>
              </w:rPr>
              <w:t>BOMBA SUMERGIBLE ADAPTADA A MOTOR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A5249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9B" w:rsidRDefault="00A5249B" w:rsidP="00B506ED">
      <w:pPr>
        <w:spacing w:after="0" w:line="240" w:lineRule="auto"/>
      </w:pPr>
      <w:r>
        <w:separator/>
      </w:r>
    </w:p>
  </w:endnote>
  <w:endnote w:type="continuationSeparator" w:id="0">
    <w:p w:rsidR="00A5249B" w:rsidRDefault="00A5249B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9B" w:rsidRDefault="00A5249B" w:rsidP="00B506ED">
      <w:pPr>
        <w:spacing w:after="0" w:line="240" w:lineRule="auto"/>
      </w:pPr>
      <w:r>
        <w:separator/>
      </w:r>
    </w:p>
  </w:footnote>
  <w:footnote w:type="continuationSeparator" w:id="0">
    <w:p w:rsidR="00A5249B" w:rsidRDefault="00A5249B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A5249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D3BCD"/>
    <w:rsid w:val="008D4D76"/>
    <w:rsid w:val="00915A01"/>
    <w:rsid w:val="00935312"/>
    <w:rsid w:val="009C280C"/>
    <w:rsid w:val="00A11A21"/>
    <w:rsid w:val="00A50C2F"/>
    <w:rsid w:val="00A5249B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7CBDF-8BFC-4128-95CC-537C0FD1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2015-10-15T15:19:00Z</dcterms:modified>
</cp:coreProperties>
</file>